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52A55" w14:textId="77777777" w:rsidR="0077691A" w:rsidRPr="00A66F58" w:rsidRDefault="0077691A" w:rsidP="0077691A">
      <w:pPr>
        <w:spacing w:before="61"/>
        <w:jc w:val="center"/>
        <w:rPr>
          <w:b/>
          <w:sz w:val="32"/>
          <w:szCs w:val="32"/>
        </w:rPr>
      </w:pPr>
      <w:r w:rsidRPr="00A66F58">
        <w:rPr>
          <w:b/>
          <w:sz w:val="32"/>
          <w:szCs w:val="32"/>
        </w:rPr>
        <w:t>Whistleblower Policy</w:t>
      </w:r>
    </w:p>
    <w:p w14:paraId="05C5DD5E" w14:textId="77777777" w:rsidR="0077691A" w:rsidRDefault="0077691A" w:rsidP="0077691A">
      <w:pPr>
        <w:pStyle w:val="BodyText"/>
        <w:ind w:left="439" w:right="339"/>
        <w:jc w:val="center"/>
        <w:rPr>
          <w:rFonts w:asciiTheme="minorHAnsi" w:hAnsiTheme="minorHAnsi"/>
          <w:sz w:val="32"/>
          <w:szCs w:val="32"/>
        </w:rPr>
      </w:pPr>
      <w:r w:rsidRPr="00A66F58">
        <w:rPr>
          <w:rFonts w:asciiTheme="minorHAnsi" w:hAnsiTheme="minorHAnsi"/>
          <w:sz w:val="32"/>
          <w:szCs w:val="32"/>
        </w:rPr>
        <w:t>M</w:t>
      </w:r>
      <w:r>
        <w:rPr>
          <w:rFonts w:asciiTheme="minorHAnsi" w:hAnsiTheme="minorHAnsi"/>
          <w:sz w:val="32"/>
          <w:szCs w:val="32"/>
        </w:rPr>
        <w:t>id-Coast Board of REALTORS®</w:t>
      </w:r>
    </w:p>
    <w:p w14:paraId="12CA1480" w14:textId="77777777" w:rsidR="0077691A" w:rsidRDefault="0077691A" w:rsidP="0077691A">
      <w:pPr>
        <w:pStyle w:val="BodyText"/>
        <w:ind w:left="439" w:right="339"/>
        <w:jc w:val="center"/>
        <w:rPr>
          <w:rFonts w:asciiTheme="minorHAnsi" w:hAnsiTheme="minorHAnsi"/>
          <w:sz w:val="32"/>
          <w:szCs w:val="32"/>
        </w:rPr>
      </w:pPr>
    </w:p>
    <w:p w14:paraId="6D813290" w14:textId="77777777" w:rsidR="0077691A" w:rsidRPr="000E7AA9" w:rsidRDefault="0077691A" w:rsidP="0077691A">
      <w:pPr>
        <w:pStyle w:val="BodyText"/>
        <w:ind w:left="439" w:right="339"/>
        <w:jc w:val="center"/>
        <w:rPr>
          <w:rFonts w:asciiTheme="minorHAnsi" w:hAnsiTheme="minorHAnsi"/>
        </w:rPr>
      </w:pPr>
    </w:p>
    <w:p w14:paraId="107DA3C5" w14:textId="77777777" w:rsidR="0077691A" w:rsidRPr="000E7AA9" w:rsidRDefault="0077691A" w:rsidP="0077691A">
      <w:pPr>
        <w:pStyle w:val="BodyText"/>
        <w:ind w:left="439" w:right="339"/>
        <w:rPr>
          <w:rFonts w:asciiTheme="minorHAnsi" w:hAnsiTheme="minorHAnsi"/>
        </w:rPr>
      </w:pPr>
    </w:p>
    <w:p w14:paraId="3F006DF2" w14:textId="77777777" w:rsidR="0077691A" w:rsidRPr="00A66F58" w:rsidRDefault="0077691A" w:rsidP="0077691A">
      <w:pPr>
        <w:pStyle w:val="BodyText"/>
        <w:ind w:left="439" w:right="339"/>
        <w:jc w:val="left"/>
        <w:rPr>
          <w:rFonts w:asciiTheme="minorHAnsi" w:hAnsiTheme="minorHAnsi"/>
          <w:b w:val="0"/>
          <w:bCs/>
        </w:rPr>
      </w:pPr>
      <w:r w:rsidRPr="00A66F58">
        <w:rPr>
          <w:rFonts w:asciiTheme="minorHAnsi" w:hAnsiTheme="minorHAnsi"/>
          <w:b w:val="0"/>
          <w:bCs/>
          <w:i/>
          <w:iCs/>
        </w:rPr>
        <w:t xml:space="preserve">A </w:t>
      </w:r>
      <w:r w:rsidRPr="00A66F58">
        <w:rPr>
          <w:rFonts w:asciiTheme="minorHAnsi" w:hAnsiTheme="minorHAnsi"/>
          <w:b w:val="0"/>
          <w:bCs/>
          <w:i/>
          <w:iCs/>
          <w:spacing w:val="-3"/>
        </w:rPr>
        <w:t xml:space="preserve">whistleblower </w:t>
      </w:r>
      <w:r w:rsidRPr="00A66F58">
        <w:rPr>
          <w:rFonts w:asciiTheme="minorHAnsi" w:hAnsiTheme="minorHAnsi"/>
          <w:b w:val="0"/>
          <w:bCs/>
          <w:i/>
          <w:iCs/>
        </w:rPr>
        <w:t xml:space="preserve">is an employee of </w:t>
      </w:r>
      <w:r w:rsidRPr="00A66F58">
        <w:rPr>
          <w:rFonts w:asciiTheme="minorHAnsi" w:hAnsiTheme="minorHAnsi"/>
          <w:b w:val="0"/>
          <w:bCs/>
          <w:i/>
          <w:iCs/>
          <w:spacing w:val="2"/>
        </w:rPr>
        <w:t xml:space="preserve">the </w:t>
      </w:r>
      <w:r w:rsidRPr="00A66F58">
        <w:rPr>
          <w:rFonts w:asciiTheme="minorHAnsi" w:hAnsiTheme="minorHAnsi"/>
          <w:b w:val="0"/>
          <w:bCs/>
          <w:i/>
          <w:iCs/>
        </w:rPr>
        <w:t xml:space="preserve">Mid-Coast Board of REALTORS® who reports </w:t>
      </w:r>
      <w:r w:rsidRPr="00A66F58">
        <w:rPr>
          <w:rFonts w:asciiTheme="minorHAnsi" w:hAnsiTheme="minorHAnsi"/>
          <w:b w:val="0"/>
          <w:bCs/>
          <w:i/>
          <w:iCs/>
          <w:spacing w:val="-3"/>
        </w:rPr>
        <w:t xml:space="preserve">information </w:t>
      </w:r>
      <w:r w:rsidRPr="00A66F58">
        <w:rPr>
          <w:rFonts w:asciiTheme="minorHAnsi" w:hAnsiTheme="minorHAnsi"/>
          <w:b w:val="0"/>
          <w:bCs/>
          <w:i/>
          <w:iCs/>
          <w:spacing w:val="1"/>
        </w:rPr>
        <w:t xml:space="preserve">that </w:t>
      </w:r>
      <w:r w:rsidRPr="00A66F58">
        <w:rPr>
          <w:rFonts w:asciiTheme="minorHAnsi" w:hAnsiTheme="minorHAnsi"/>
          <w:b w:val="0"/>
          <w:bCs/>
          <w:i/>
          <w:iCs/>
        </w:rPr>
        <w:t xml:space="preserve">he/she has reasonable cause </w:t>
      </w:r>
      <w:r w:rsidRPr="00A66F58">
        <w:rPr>
          <w:rFonts w:asciiTheme="minorHAnsi" w:hAnsiTheme="minorHAnsi"/>
          <w:b w:val="0"/>
          <w:bCs/>
          <w:i/>
          <w:iCs/>
          <w:spacing w:val="1"/>
        </w:rPr>
        <w:t xml:space="preserve">to </w:t>
      </w:r>
      <w:r w:rsidRPr="00A66F58">
        <w:rPr>
          <w:rFonts w:asciiTheme="minorHAnsi" w:hAnsiTheme="minorHAnsi"/>
          <w:b w:val="0"/>
          <w:bCs/>
          <w:i/>
          <w:iCs/>
        </w:rPr>
        <w:t xml:space="preserve">believe discloses a violation </w:t>
      </w:r>
      <w:r w:rsidRPr="00A66F58">
        <w:rPr>
          <w:rFonts w:asciiTheme="minorHAnsi" w:hAnsiTheme="minorHAnsi"/>
          <w:b w:val="0"/>
          <w:bCs/>
          <w:i/>
          <w:iCs/>
          <w:spacing w:val="3"/>
        </w:rPr>
        <w:t xml:space="preserve">of </w:t>
      </w:r>
      <w:r w:rsidRPr="00A66F58">
        <w:rPr>
          <w:rFonts w:asciiTheme="minorHAnsi" w:hAnsiTheme="minorHAnsi"/>
          <w:b w:val="0"/>
          <w:bCs/>
          <w:i/>
          <w:iCs/>
          <w:spacing w:val="-3"/>
        </w:rPr>
        <w:t xml:space="preserve">state </w:t>
      </w:r>
      <w:r w:rsidRPr="00A66F58">
        <w:rPr>
          <w:rFonts w:asciiTheme="minorHAnsi" w:hAnsiTheme="minorHAnsi"/>
          <w:b w:val="0"/>
          <w:bCs/>
          <w:i/>
          <w:iCs/>
        </w:rPr>
        <w:t xml:space="preserve">or federal law </w:t>
      </w:r>
      <w:r w:rsidRPr="00A66F58">
        <w:rPr>
          <w:rFonts w:asciiTheme="minorHAnsi" w:hAnsiTheme="minorHAnsi"/>
          <w:b w:val="0"/>
          <w:bCs/>
          <w:i/>
          <w:iCs/>
          <w:spacing w:val="1"/>
        </w:rPr>
        <w:t xml:space="preserve">to </w:t>
      </w:r>
      <w:r w:rsidRPr="00A66F58">
        <w:rPr>
          <w:rFonts w:asciiTheme="minorHAnsi" w:hAnsiTheme="minorHAnsi"/>
          <w:b w:val="0"/>
          <w:bCs/>
          <w:i/>
          <w:iCs/>
        </w:rPr>
        <w:t xml:space="preserve">one or more of </w:t>
      </w:r>
      <w:r w:rsidRPr="00A66F58">
        <w:rPr>
          <w:rFonts w:asciiTheme="minorHAnsi" w:hAnsiTheme="minorHAnsi"/>
          <w:b w:val="0"/>
          <w:bCs/>
          <w:i/>
          <w:iCs/>
          <w:spacing w:val="2"/>
        </w:rPr>
        <w:t xml:space="preserve">the </w:t>
      </w:r>
      <w:r w:rsidRPr="00A66F58">
        <w:rPr>
          <w:rFonts w:asciiTheme="minorHAnsi" w:hAnsiTheme="minorHAnsi"/>
          <w:b w:val="0"/>
          <w:bCs/>
          <w:i/>
          <w:iCs/>
        </w:rPr>
        <w:t>parties specified in this Policy</w:t>
      </w:r>
      <w:r w:rsidRPr="00A66F58">
        <w:rPr>
          <w:rFonts w:asciiTheme="minorHAnsi" w:hAnsiTheme="minorHAnsi"/>
          <w:b w:val="0"/>
          <w:bCs/>
        </w:rPr>
        <w:t>.</w:t>
      </w:r>
    </w:p>
    <w:p w14:paraId="0E86AB4B" w14:textId="77777777" w:rsidR="0077691A" w:rsidRPr="00A66F58" w:rsidRDefault="0077691A" w:rsidP="0077691A">
      <w:pPr>
        <w:pStyle w:val="BodyText"/>
        <w:spacing w:before="202"/>
        <w:ind w:right="408"/>
        <w:jc w:val="left"/>
        <w:rPr>
          <w:rFonts w:asciiTheme="minorHAnsi" w:hAnsiTheme="minorHAnsi"/>
          <w:b w:val="0"/>
          <w:bCs/>
        </w:rPr>
      </w:pPr>
      <w:r w:rsidRPr="00A66F58">
        <w:rPr>
          <w:rFonts w:asciiTheme="minorHAnsi" w:hAnsiTheme="minorHAnsi"/>
          <w:b w:val="0"/>
          <w:bCs/>
        </w:rPr>
        <w:t>If an employee has information which he/she reasonably believes discloses a violation of state or federal law, the employee should contact his/her Board President, the Senior Vice President of Human Resources, or the General Counsel. Employees are also permitted to contact the appropriate law enforcement or government agency. The employee must exercise sound judgment to avoid baseless allegations. An employee who intentionally files a false report of wrongdoing will be subject to discipline up to and including termination.</w:t>
      </w:r>
    </w:p>
    <w:p w14:paraId="5F660F92" w14:textId="77777777" w:rsidR="0077691A" w:rsidRPr="00A66F58" w:rsidRDefault="0077691A" w:rsidP="0077691A">
      <w:pPr>
        <w:pStyle w:val="BodyText"/>
        <w:spacing w:before="197"/>
        <w:ind w:right="394"/>
        <w:jc w:val="left"/>
        <w:rPr>
          <w:rFonts w:asciiTheme="minorHAnsi" w:hAnsiTheme="minorHAnsi"/>
          <w:b w:val="0"/>
          <w:bCs/>
        </w:rPr>
      </w:pPr>
      <w:r w:rsidRPr="00A66F58">
        <w:rPr>
          <w:rFonts w:asciiTheme="minorHAnsi" w:hAnsiTheme="minorHAnsi"/>
          <w:b w:val="0"/>
          <w:bCs/>
        </w:rPr>
        <w:t xml:space="preserve">Insofar as possible, the confidentiality of the whistleblower will be maintained. However, identity </w:t>
      </w:r>
      <w:r w:rsidRPr="00A66F58">
        <w:rPr>
          <w:rFonts w:asciiTheme="minorHAnsi" w:hAnsiTheme="minorHAnsi"/>
          <w:b w:val="0"/>
          <w:bCs/>
          <w:spacing w:val="-5"/>
        </w:rPr>
        <w:t xml:space="preserve">may have </w:t>
      </w:r>
      <w:r w:rsidRPr="00A66F58">
        <w:rPr>
          <w:rFonts w:asciiTheme="minorHAnsi" w:hAnsiTheme="minorHAnsi"/>
          <w:b w:val="0"/>
          <w:bCs/>
        </w:rPr>
        <w:t xml:space="preserve">to be disclosed to conduct a thorough investigation, to comply with </w:t>
      </w:r>
      <w:r w:rsidRPr="00A66F58">
        <w:rPr>
          <w:rFonts w:asciiTheme="minorHAnsi" w:hAnsiTheme="minorHAnsi"/>
          <w:b w:val="0"/>
          <w:bCs/>
          <w:spacing w:val="-3"/>
        </w:rPr>
        <w:t xml:space="preserve">the </w:t>
      </w:r>
      <w:r w:rsidRPr="00A66F58">
        <w:rPr>
          <w:rFonts w:asciiTheme="minorHAnsi" w:hAnsiTheme="minorHAnsi"/>
          <w:b w:val="0"/>
          <w:bCs/>
        </w:rPr>
        <w:t xml:space="preserve">law or to provide accused individuals their legal rights of defense. The Company will not retaliate against a </w:t>
      </w:r>
      <w:r w:rsidRPr="00A66F58">
        <w:rPr>
          <w:rFonts w:asciiTheme="minorHAnsi" w:hAnsiTheme="minorHAnsi"/>
          <w:b w:val="0"/>
          <w:bCs/>
          <w:spacing w:val="-3"/>
        </w:rPr>
        <w:t xml:space="preserve">whistleblower </w:t>
      </w:r>
      <w:r w:rsidRPr="00A66F58">
        <w:rPr>
          <w:rFonts w:asciiTheme="minorHAnsi" w:hAnsiTheme="minorHAnsi"/>
          <w:b w:val="0"/>
          <w:bCs/>
        </w:rPr>
        <w:t xml:space="preserve">or any employee who refuses to participate in an activity that would result in a </w:t>
      </w:r>
      <w:r w:rsidRPr="00A66F58">
        <w:rPr>
          <w:rFonts w:asciiTheme="minorHAnsi" w:hAnsiTheme="minorHAnsi"/>
          <w:b w:val="0"/>
          <w:bCs/>
          <w:spacing w:val="-3"/>
        </w:rPr>
        <w:t xml:space="preserve">violation </w:t>
      </w:r>
      <w:r w:rsidRPr="00A66F58">
        <w:rPr>
          <w:rFonts w:asciiTheme="minorHAnsi" w:hAnsiTheme="minorHAnsi"/>
          <w:b w:val="0"/>
          <w:bCs/>
        </w:rPr>
        <w:t xml:space="preserve">of state or federal law. This includes, but is not limited to, protection from </w:t>
      </w:r>
      <w:r w:rsidRPr="00A66F58">
        <w:rPr>
          <w:rFonts w:asciiTheme="minorHAnsi" w:hAnsiTheme="minorHAnsi"/>
          <w:b w:val="0"/>
          <w:bCs/>
          <w:spacing w:val="-4"/>
        </w:rPr>
        <w:t xml:space="preserve">retaliation </w:t>
      </w:r>
      <w:r w:rsidRPr="00A66F58">
        <w:rPr>
          <w:rFonts w:asciiTheme="minorHAnsi" w:hAnsiTheme="minorHAnsi"/>
          <w:b w:val="0"/>
          <w:bCs/>
          <w:spacing w:val="-3"/>
        </w:rPr>
        <w:t xml:space="preserve">in </w:t>
      </w:r>
      <w:r w:rsidRPr="00A66F58">
        <w:rPr>
          <w:rFonts w:asciiTheme="minorHAnsi" w:hAnsiTheme="minorHAnsi"/>
          <w:b w:val="0"/>
          <w:bCs/>
          <w:spacing w:val="-4"/>
        </w:rPr>
        <w:t xml:space="preserve">the </w:t>
      </w:r>
      <w:r w:rsidRPr="00A66F58">
        <w:rPr>
          <w:rFonts w:asciiTheme="minorHAnsi" w:hAnsiTheme="minorHAnsi"/>
          <w:b w:val="0"/>
          <w:bCs/>
          <w:spacing w:val="-3"/>
        </w:rPr>
        <w:t xml:space="preserve">form </w:t>
      </w:r>
      <w:r w:rsidRPr="00A66F58">
        <w:rPr>
          <w:rFonts w:asciiTheme="minorHAnsi" w:hAnsiTheme="minorHAnsi"/>
          <w:b w:val="0"/>
          <w:bCs/>
        </w:rPr>
        <w:t xml:space="preserve">of an adverse employment action such as termination, compensation decreases, or poor work assignments and threats of physical harm. Any employee who believes he/she is being retaliated against must contact the President of the Mid-Coast Board of REALTORS immediately. The right of a whistleblower for protection against retaliation does not include immunity </w:t>
      </w:r>
      <w:r w:rsidRPr="00A66F58">
        <w:rPr>
          <w:rFonts w:asciiTheme="minorHAnsi" w:hAnsiTheme="minorHAnsi"/>
          <w:b w:val="0"/>
          <w:bCs/>
          <w:spacing w:val="-6"/>
        </w:rPr>
        <w:t xml:space="preserve">for </w:t>
      </w:r>
      <w:r w:rsidRPr="00A66F58">
        <w:rPr>
          <w:rFonts w:asciiTheme="minorHAnsi" w:hAnsiTheme="minorHAnsi"/>
          <w:b w:val="0"/>
          <w:bCs/>
        </w:rPr>
        <w:t xml:space="preserve">any personal wrongdoing that is alleged and investigated, or disclosures that would </w:t>
      </w:r>
      <w:r w:rsidRPr="00A66F58">
        <w:rPr>
          <w:rFonts w:asciiTheme="minorHAnsi" w:hAnsiTheme="minorHAnsi"/>
          <w:b w:val="0"/>
          <w:bCs/>
          <w:spacing w:val="-3"/>
        </w:rPr>
        <w:t xml:space="preserve">constitute </w:t>
      </w:r>
      <w:r w:rsidRPr="00A66F58">
        <w:rPr>
          <w:rFonts w:asciiTheme="minorHAnsi" w:hAnsiTheme="minorHAnsi"/>
          <w:b w:val="0"/>
          <w:bCs/>
        </w:rPr>
        <w:t>a violation of the attorney-client privilege.</w:t>
      </w:r>
    </w:p>
    <w:p w14:paraId="69703E23" w14:textId="77777777" w:rsidR="0077691A" w:rsidRDefault="0077691A" w:rsidP="0077691A">
      <w:pPr>
        <w:spacing w:before="69"/>
        <w:ind w:right="2031"/>
        <w:jc w:val="center"/>
        <w:rPr>
          <w:rFonts w:cstheme="minorHAnsi"/>
          <w:b/>
        </w:rPr>
      </w:pPr>
    </w:p>
    <w:p w14:paraId="500B6415" w14:textId="77777777" w:rsidR="00DE788F" w:rsidRDefault="00DE788F">
      <w:bookmarkStart w:id="0" w:name="_GoBack"/>
      <w:bookmarkEnd w:id="0"/>
    </w:p>
    <w:sectPr w:rsidR="00DE788F" w:rsidSect="00604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91A"/>
    <w:rsid w:val="00604CF6"/>
    <w:rsid w:val="0077691A"/>
    <w:rsid w:val="00A456B5"/>
    <w:rsid w:val="00DE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4874D7"/>
  <w15:chartTrackingRefBased/>
  <w15:docId w15:val="{A1D7A174-B65A-C64A-869F-9EBABC83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7691A"/>
    <w:pPr>
      <w:jc w:val="both"/>
    </w:pPr>
    <w:rPr>
      <w:rFonts w:ascii="Times New Roman" w:eastAsia="Times New Roman" w:hAnsi="Times New Roman" w:cs="Times New Roman"/>
      <w:b/>
      <w:szCs w:val="20"/>
    </w:rPr>
  </w:style>
  <w:style w:type="character" w:customStyle="1" w:styleId="BodyTextChar">
    <w:name w:val="Body Text Char"/>
    <w:basedOn w:val="DefaultParagraphFont"/>
    <w:link w:val="BodyText"/>
    <w:rsid w:val="0077691A"/>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Johanson</dc:creator>
  <cp:keywords/>
  <dc:description/>
  <cp:lastModifiedBy>Jen Johanson</cp:lastModifiedBy>
  <cp:revision>1</cp:revision>
  <dcterms:created xsi:type="dcterms:W3CDTF">2020-03-17T17:24:00Z</dcterms:created>
  <dcterms:modified xsi:type="dcterms:W3CDTF">2020-03-17T17:24:00Z</dcterms:modified>
</cp:coreProperties>
</file>